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Latn-RS" w:eastAsia="sr-Latn-CS"/>
        </w:rPr>
      </w:pPr>
      <w:r w:rsidRPr="003D10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CS" w:eastAsia="sr-Latn-CS"/>
        </w:rPr>
        <w:t>АНАЛИЗА ЕФЕКАТА ПРОПИСА</w:t>
      </w: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CS"/>
        </w:rPr>
      </w:pPr>
    </w:p>
    <w:p w:rsidR="003D10D5" w:rsidRPr="003D10D5" w:rsidRDefault="003D10D5" w:rsidP="003D10D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sr-Cyrl-CS" w:eastAsia="sr-Latn-CS"/>
        </w:rPr>
      </w:pPr>
      <w:r w:rsidRPr="003D10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sr-Cyrl-CS" w:eastAsia="sr-Latn-CS"/>
        </w:rPr>
        <w:t>Одређење проблема који закон треба да реши</w:t>
      </w: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sr-Cyrl-CS" w:eastAsia="sr-Latn-CS"/>
        </w:rPr>
      </w:pPr>
    </w:p>
    <w:p w:rsidR="003D10D5" w:rsidRPr="003D10D5" w:rsidRDefault="003D10D5" w:rsidP="003D10D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en-GB" w:eastAsia="sr-Latn-RS"/>
        </w:rPr>
      </w:pPr>
      <w:r w:rsidRPr="003D10D5">
        <w:rPr>
          <w:rFonts w:ascii="Times New Roman" w:eastAsia="Calibri" w:hAnsi="Times New Roman" w:cs="Times New Roman"/>
          <w:sz w:val="24"/>
          <w:szCs w:val="24"/>
          <w:lang w:val="en-GB" w:eastAsia="sr-Latn-RS"/>
        </w:rPr>
        <w:t xml:space="preserve">Закон о заштити лица са менталним сметњама </w:t>
      </w:r>
      <w:r w:rsidRPr="003D10D5">
        <w:rPr>
          <w:rFonts w:ascii="Times New Roman" w:eastAsia="Calibri" w:hAnsi="Times New Roman" w:cs="Times New Roman"/>
          <w:sz w:val="24"/>
          <w:szCs w:val="24"/>
          <w:lang w:val="sr-Cyrl-RS" w:eastAsia="sr-Latn-RS"/>
        </w:rPr>
        <w:t xml:space="preserve">донет је </w:t>
      </w:r>
      <w:r w:rsidR="00DD7692">
        <w:rPr>
          <w:rFonts w:ascii="Times New Roman" w:eastAsia="Calibri" w:hAnsi="Times New Roman" w:cs="Times New Roman"/>
          <w:sz w:val="24"/>
          <w:szCs w:val="24"/>
          <w:lang w:val="en-GB" w:eastAsia="sr-Latn-RS"/>
        </w:rPr>
        <w:t>(„Службени гласник РС</w:t>
      </w:r>
      <w:r w:rsidRPr="003D10D5">
        <w:rPr>
          <w:rFonts w:ascii="Times New Roman" w:eastAsia="Calibri" w:hAnsi="Times New Roman" w:cs="Times New Roman"/>
          <w:sz w:val="24"/>
          <w:szCs w:val="24"/>
          <w:lang w:val="en-GB" w:eastAsia="sr-Latn-RS"/>
        </w:rPr>
        <w:t xml:space="preserve">ˮ, </w:t>
      </w:r>
      <w:r w:rsidR="00CB529B">
        <w:rPr>
          <w:rFonts w:ascii="Times New Roman" w:eastAsia="Calibri" w:hAnsi="Times New Roman" w:cs="Times New Roman"/>
          <w:sz w:val="24"/>
          <w:szCs w:val="24"/>
          <w:lang w:val="en-GB" w:eastAsia="sr-Latn-RS"/>
        </w:rPr>
        <w:br/>
      </w:r>
      <w:r w:rsidRPr="003D10D5">
        <w:rPr>
          <w:rFonts w:ascii="Times New Roman" w:eastAsia="Calibri" w:hAnsi="Times New Roman" w:cs="Times New Roman"/>
          <w:sz w:val="24"/>
          <w:szCs w:val="24"/>
          <w:lang w:val="en-GB" w:eastAsia="sr-Latn-RS"/>
        </w:rPr>
        <w:t>бр</w:t>
      </w:r>
      <w:r w:rsidR="00CB529B">
        <w:rPr>
          <w:rFonts w:ascii="Times New Roman" w:eastAsia="Calibri" w:hAnsi="Times New Roman" w:cs="Times New Roman"/>
          <w:sz w:val="24"/>
          <w:szCs w:val="24"/>
          <w:lang w:val="sr-Cyrl-RS" w:eastAsia="sr-Latn-RS"/>
        </w:rPr>
        <w:t>ој</w:t>
      </w:r>
      <w:r w:rsidR="00332777">
        <w:rPr>
          <w:rFonts w:ascii="Times New Roman" w:eastAsia="Calibri" w:hAnsi="Times New Roman" w:cs="Times New Roman"/>
          <w:sz w:val="24"/>
          <w:szCs w:val="24"/>
          <w:lang w:val="en-GB" w:eastAsia="sr-Latn-RS"/>
        </w:rPr>
        <w:t xml:space="preserve"> </w:t>
      </w:r>
      <w:bookmarkStart w:id="0" w:name="_GoBack"/>
      <w:bookmarkEnd w:id="0"/>
      <w:r w:rsidRPr="003D10D5">
        <w:rPr>
          <w:rFonts w:ascii="Times New Roman" w:eastAsia="Calibri" w:hAnsi="Times New Roman" w:cs="Times New Roman"/>
          <w:sz w:val="24"/>
          <w:szCs w:val="24"/>
          <w:lang w:val="en-GB" w:eastAsia="sr-Latn-RS"/>
        </w:rPr>
        <w:t>45/13)</w:t>
      </w:r>
      <w:r w:rsidRPr="003D10D5">
        <w:rPr>
          <w:rFonts w:ascii="Times New Roman" w:eastAsia="Calibri" w:hAnsi="Times New Roman" w:cs="Times New Roman"/>
          <w:sz w:val="24"/>
          <w:szCs w:val="24"/>
          <w:lang w:val="sr-Cyrl-RS" w:eastAsia="sr-Latn-RS"/>
        </w:rPr>
        <w:t xml:space="preserve">. </w:t>
      </w:r>
      <w:r w:rsidRPr="003D10D5">
        <w:rPr>
          <w:rFonts w:ascii="Times New Roman" w:eastAsia="Calibri" w:hAnsi="Times New Roman" w:cs="Times New Roman"/>
          <w:sz w:val="24"/>
          <w:szCs w:val="24"/>
          <w:lang w:val="en-GB" w:eastAsia="sr-Latn-RS"/>
        </w:rPr>
        <w:t>Наиме, током примене Закона о заштити лица са менталним</w:t>
      </w:r>
      <w:r w:rsidR="00DD7692">
        <w:rPr>
          <w:rFonts w:ascii="Times New Roman" w:eastAsia="Calibri" w:hAnsi="Times New Roman" w:cs="Times New Roman"/>
          <w:sz w:val="24"/>
          <w:szCs w:val="24"/>
          <w:lang w:val="en-GB" w:eastAsia="sr-Latn-RS"/>
        </w:rPr>
        <w:t xml:space="preserve"> сметњама („Службени гласник РС</w:t>
      </w:r>
      <w:r w:rsidRPr="003D10D5">
        <w:rPr>
          <w:rFonts w:ascii="Times New Roman" w:eastAsia="Calibri" w:hAnsi="Times New Roman" w:cs="Times New Roman"/>
          <w:sz w:val="24"/>
          <w:szCs w:val="24"/>
          <w:lang w:val="en-GB" w:eastAsia="sr-Latn-RS"/>
        </w:rPr>
        <w:t xml:space="preserve">ˮ, број 45/13) </w:t>
      </w:r>
      <w:r w:rsidRPr="003D10D5">
        <w:rPr>
          <w:rFonts w:ascii="Times New Roman" w:eastAsia="Calibri" w:hAnsi="Times New Roman" w:cs="Times New Roman"/>
          <w:sz w:val="24"/>
          <w:szCs w:val="24"/>
          <w:lang w:val="sr-Cyrl-RS" w:eastAsia="sr-Latn-RS"/>
        </w:rPr>
        <w:t>појавила се потреба за одређеним новим нормативним решењима,</w:t>
      </w:r>
      <w:r w:rsidRPr="003D10D5">
        <w:rPr>
          <w:rFonts w:ascii="Times New Roman" w:eastAsia="Calibri" w:hAnsi="Times New Roman" w:cs="Times New Roman"/>
          <w:sz w:val="24"/>
          <w:szCs w:val="24"/>
          <w:lang w:val="en-GB" w:eastAsia="sr-Latn-RS"/>
        </w:rPr>
        <w:t xml:space="preserve"> </w:t>
      </w:r>
      <w:r w:rsidRPr="003D10D5">
        <w:rPr>
          <w:rFonts w:ascii="Times New Roman" w:eastAsia="Calibri" w:hAnsi="Times New Roman" w:cs="Times New Roman"/>
          <w:sz w:val="24"/>
          <w:szCs w:val="24"/>
          <w:lang w:val="sr-Cyrl-RS" w:eastAsia="sr-Latn-RS"/>
        </w:rPr>
        <w:t xml:space="preserve">како би његова имплементација у пракси имала пуну примену. </w:t>
      </w:r>
    </w:p>
    <w:p w:rsidR="003D10D5" w:rsidRPr="003D10D5" w:rsidRDefault="003D10D5" w:rsidP="003D10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sr-Cyrl-RS" w:eastAsia="sr-Latn-CS"/>
        </w:rPr>
      </w:pPr>
      <w:r w:rsidRPr="003D10D5">
        <w:rPr>
          <w:rFonts w:ascii="Times New Roman" w:eastAsia="Calibri" w:hAnsi="Times New Roman" w:cs="Times New Roman"/>
          <w:sz w:val="24"/>
          <w:szCs w:val="24"/>
          <w:lang w:val="en-GB" w:eastAsia="sr-Latn-RS"/>
        </w:rPr>
        <w:t xml:space="preserve">Закон о изменама и допунама Закона о заштити лица са менталним сметњама има за циљ успостављање </w:t>
      </w:r>
      <w:r w:rsidRPr="003D10D5">
        <w:rPr>
          <w:rFonts w:ascii="Times New Roman" w:eastAsia="Calibri" w:hAnsi="Times New Roman" w:cs="Times New Roman"/>
          <w:sz w:val="24"/>
          <w:szCs w:val="24"/>
          <w:lang w:val="sr-Cyrl-RS" w:eastAsia="sr-Latn-RS"/>
        </w:rPr>
        <w:t>савременог приступа лечењу и нова законска решења у домену заштите менталног здравља у складу са националном здравственом политиком и међународним документима, као и правним стандардима који су усклађени са савременим стручним достигнућима и стандардима људских права.</w:t>
      </w:r>
      <w:r w:rsidRPr="003D10D5">
        <w:rPr>
          <w:rFonts w:ascii="Times New Roman" w:eastAsia="Calibri" w:hAnsi="Times New Roman" w:cs="Times New Roman"/>
          <w:sz w:val="24"/>
          <w:szCs w:val="24"/>
          <w:lang w:val="en-GB" w:eastAsia="sr-Latn-RS"/>
        </w:rPr>
        <w:t xml:space="preserve"> </w:t>
      </w:r>
    </w:p>
    <w:p w:rsidR="003D10D5" w:rsidRPr="003D10D5" w:rsidRDefault="003D10D5" w:rsidP="003D10D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en-GB" w:eastAsia="sr-Latn-RS"/>
        </w:rPr>
      </w:pPr>
      <w:r w:rsidRPr="003D10D5">
        <w:rPr>
          <w:rFonts w:ascii="Times New Roman" w:eastAsia="Calibri" w:hAnsi="Times New Roman" w:cs="Times New Roman"/>
          <w:sz w:val="24"/>
          <w:szCs w:val="24"/>
          <w:lang w:val="en-GB" w:eastAsia="sr-Latn-RS"/>
        </w:rPr>
        <w:t xml:space="preserve">Предложене измене и допуне воде </w:t>
      </w:r>
      <w:r w:rsidRPr="003D10D5">
        <w:rPr>
          <w:rFonts w:ascii="Times New Roman" w:eastAsia="Calibri" w:hAnsi="Times New Roman" w:cs="Times New Roman"/>
          <w:sz w:val="24"/>
          <w:szCs w:val="24"/>
          <w:lang w:val="sr-Cyrl-RS" w:eastAsia="sr-Latn-RS"/>
        </w:rPr>
        <w:t xml:space="preserve">ка </w:t>
      </w:r>
      <w:r w:rsidRPr="003D10D5">
        <w:rPr>
          <w:rFonts w:ascii="Times New Roman" w:eastAsia="Calibri" w:hAnsi="Times New Roman" w:cs="Times New Roman"/>
          <w:sz w:val="24"/>
          <w:szCs w:val="24"/>
          <w:lang w:val="en-GB" w:eastAsia="sr-Latn-RS"/>
        </w:rPr>
        <w:t>даљем развоју људских права особа са менталним сметњама</w:t>
      </w:r>
      <w:r w:rsidRPr="003D10D5">
        <w:rPr>
          <w:rFonts w:ascii="Times New Roman" w:eastAsia="Calibri" w:hAnsi="Times New Roman" w:cs="Times New Roman"/>
          <w:sz w:val="24"/>
          <w:szCs w:val="24"/>
          <w:lang w:val="sr-Cyrl-RS" w:eastAsia="sr-Latn-RS"/>
        </w:rPr>
        <w:t xml:space="preserve"> и дестигматизацији, </w:t>
      </w:r>
      <w:r w:rsidRPr="003D10D5">
        <w:rPr>
          <w:rFonts w:ascii="Times New Roman" w:eastAsia="Calibri" w:hAnsi="Times New Roman" w:cs="Times New Roman"/>
          <w:sz w:val="24"/>
          <w:szCs w:val="24"/>
          <w:lang w:val="en-GB" w:eastAsia="sr-Latn-RS"/>
        </w:rPr>
        <w:t xml:space="preserve">што доводи до транспарентније заштите права лица са менталним сметњама. </w:t>
      </w:r>
    </w:p>
    <w:p w:rsidR="003D10D5" w:rsidRPr="003D10D5" w:rsidRDefault="003D10D5" w:rsidP="003D10D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sr-Cyrl-RS" w:eastAsia="sr-Latn-RS"/>
        </w:rPr>
      </w:pPr>
      <w:r w:rsidRPr="003D10D5">
        <w:rPr>
          <w:rFonts w:ascii="Times New Roman" w:eastAsia="Calibri" w:hAnsi="Times New Roman" w:cs="Times New Roman"/>
          <w:sz w:val="24"/>
          <w:szCs w:val="24"/>
          <w:lang w:val="sr-Cyrl-RS" w:eastAsia="sr-Latn-RS"/>
        </w:rPr>
        <w:t xml:space="preserve">Такође, успоставља се виши ниво квалитета заштите менталног здравља, у складу са савременим достигнућима у овој области. </w:t>
      </w: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CS"/>
        </w:rPr>
      </w:pP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CS"/>
        </w:rPr>
        <w:tab/>
      </w: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ab/>
        <w:t>У периоду примене наведеног закона јавила се потреба:</w:t>
      </w:r>
    </w:p>
    <w:p w:rsidR="003D10D5" w:rsidRPr="003D10D5" w:rsidRDefault="003D10D5" w:rsidP="003D10D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за унапређењем заштите људских права и унапређења стандарда поступања према лицима са менталним сметњама као посебно осетљиве категорије;</w:t>
      </w:r>
    </w:p>
    <w:p w:rsidR="003D10D5" w:rsidRPr="003D10D5" w:rsidRDefault="003D10D5" w:rsidP="003D10D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за прецизнијим уређивањем круга здравствених радника, специјалности доктора медицине (психијатар и дечји психијатар) који могу учествовати у лечењу лица са менталним сметњама;</w:t>
      </w:r>
    </w:p>
    <w:p w:rsidR="003D10D5" w:rsidRPr="003D10D5" w:rsidRDefault="003D10D5" w:rsidP="003D10D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увођење института „лице од поверења“ чиме се доприноси додатном усклађивању правног система Републике Србије са обавезама које произилазе из Конвенције о правима особа са инвалидитетом;</w:t>
      </w:r>
    </w:p>
    <w:p w:rsidR="003D10D5" w:rsidRPr="003D10D5" w:rsidRDefault="003D10D5" w:rsidP="003D10D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да се потпуно укине мера изолације лица са менталним сметњама у третману лечења, а у циљу обезбеђивања хуманог, достојанственог и недискриминаторног приступа у заштити ових лица;</w:t>
      </w: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-  за терминолошким прецизирањем у циљу отклањања недоумица у примени постојећих решења.</w:t>
      </w: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CS"/>
        </w:rPr>
      </w:pP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sr-Latn-RS" w:eastAsia="sr-Latn-CS"/>
        </w:rPr>
      </w:pPr>
      <w:r w:rsidRPr="003D10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sr-Latn-CS"/>
        </w:rPr>
        <w:tab/>
      </w:r>
      <w:r w:rsidRPr="003D10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sr-Cyrl-CS" w:eastAsia="sr-Latn-CS"/>
        </w:rPr>
        <w:t>2. Циљеви који се доношењем закона постижу</w:t>
      </w: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sr-Latn-RS" w:eastAsia="sr-Latn-CS"/>
        </w:rPr>
      </w:pPr>
    </w:p>
    <w:p w:rsidR="003D10D5" w:rsidRPr="003D10D5" w:rsidRDefault="003D10D5" w:rsidP="003D10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sr-Cyrl-RS" w:eastAsia="sr-Latn-CS"/>
        </w:rPr>
      </w:pP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Д</w:t>
      </w: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 xml:space="preserve">оношењем новог закона постиже се унапређење заштите људских права и унапређење </w:t>
      </w:r>
      <w:r w:rsidRPr="003D10D5">
        <w:rPr>
          <w:rFonts w:ascii="Times New Roman" w:eastAsia="Calibri" w:hAnsi="Times New Roman" w:cs="Times New Roman"/>
          <w:sz w:val="24"/>
          <w:szCs w:val="24"/>
          <w:lang w:val="sr-Cyrl-RS" w:eastAsia="sr-Latn-RS"/>
        </w:rPr>
        <w:t>правних стандарда који су усклађени са савременим стручним достигнућима у овој области. С</w:t>
      </w: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тандарди поступања према лицима са менталним сметњама, као посебно осетљиве категорије  имају важну системску улогу.</w:t>
      </w:r>
    </w:p>
    <w:p w:rsid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</w:p>
    <w:p w:rsidR="00DD7692" w:rsidRDefault="00DD7692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</w:p>
    <w:p w:rsidR="00DD7692" w:rsidRDefault="00DD7692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</w:p>
    <w:p w:rsidR="00DD7692" w:rsidRPr="003D10D5" w:rsidRDefault="00DD7692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</w:pP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 </w:t>
      </w: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CS"/>
        </w:rPr>
        <w:tab/>
      </w: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eastAsia="sr-Latn-CS"/>
        </w:rPr>
        <w:t xml:space="preserve">  </w:t>
      </w: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sr-Latn-RS" w:eastAsia="sr-Latn-CS"/>
        </w:rPr>
      </w:pPr>
      <w:r w:rsidRPr="003D10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sr-Latn-CS"/>
        </w:rPr>
        <w:lastRenderedPageBreak/>
        <w:tab/>
        <w:t xml:space="preserve">  3.</w:t>
      </w:r>
      <w:r w:rsidRPr="003D10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sr-Cyrl-CS" w:eastAsia="sr-Latn-CS"/>
        </w:rPr>
        <w:t xml:space="preserve"> Друга  могућност за решавање проблема</w:t>
      </w: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CS"/>
        </w:rPr>
      </w:pPr>
    </w:p>
    <w:p w:rsidR="003D10D5" w:rsidRPr="003D10D5" w:rsidRDefault="003D10D5" w:rsidP="003D10D5">
      <w:pPr>
        <w:suppressAutoHyphens/>
        <w:spacing w:before="120" w:after="60" w:line="28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zh-TW"/>
        </w:rPr>
      </w:pP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 xml:space="preserve">Имајући у виду чињеницу </w:t>
      </w: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sr-Latn-CS"/>
        </w:rPr>
        <w:t xml:space="preserve">да је Закон о заштити лица са менталним сметњама основни закон који регулише област менталног здравља </w:t>
      </w:r>
      <w:r w:rsidRPr="003D10D5">
        <w:rPr>
          <w:rFonts w:ascii="Times New Roman" w:eastAsia="Times New Roman" w:hAnsi="Times New Roman" w:cs="Times New Roman"/>
          <w:sz w:val="24"/>
          <w:szCs w:val="24"/>
          <w:lang w:val="sr-Cyrl-CS" w:eastAsia="zh-TW"/>
        </w:rPr>
        <w:t xml:space="preserve">и да се појавила потреба за другачијим решењима у односу на основни закон, није постојала могућност да се проблеми који се решавају овим законом уреде на другачији начин од доношења закона о изменама и допунама закона.  </w:t>
      </w: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sr-Latn-CS"/>
        </w:rPr>
      </w:pP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sr-Latn-RS" w:eastAsia="sr-Latn-CS"/>
        </w:rPr>
      </w:pPr>
      <w:r w:rsidRPr="003D10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sr-Latn-CS"/>
        </w:rPr>
        <w:tab/>
        <w:t xml:space="preserve">  </w:t>
      </w:r>
      <w:r w:rsidRPr="003D10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sr-Cyrl-CS" w:eastAsia="sr-Latn-CS"/>
        </w:rPr>
        <w:t>4. Зашто је доношење закона најбоље за решавање проблема</w:t>
      </w: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sr-Latn-RS" w:eastAsia="sr-Latn-CS"/>
        </w:rPr>
      </w:pP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r-Latn-CS"/>
        </w:rPr>
      </w:pP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eastAsia="sr-Latn-CS"/>
        </w:rPr>
        <w:tab/>
        <w:t xml:space="preserve">  </w:t>
      </w: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Уређивање</w:t>
      </w: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sr-Latn-CS"/>
        </w:rPr>
        <w:t xml:space="preserve"> области менталног здравља </w:t>
      </w: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предмет је законске регулативе</w:t>
      </w: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sr-Latn-CS"/>
        </w:rPr>
        <w:t xml:space="preserve"> и регулисано је постојећим законским прописима, те се с тога ова област</w:t>
      </w: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 xml:space="preserve"> може  уредити искључиво </w:t>
      </w: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sr-Latn-CS"/>
        </w:rPr>
        <w:t>на овај начин. Овим законом се утврђују права лица са менталним сметњама која се не могу уредити актом ниже правне снаге од закона.</w:t>
      </w: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r-Latn-CS"/>
        </w:rPr>
      </w:pP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sr-Latn-RS" w:eastAsia="sr-Latn-CS"/>
        </w:rPr>
      </w:pPr>
      <w:r w:rsidRPr="003D10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sr-Cyrl-CS" w:eastAsia="sr-Latn-CS"/>
        </w:rPr>
        <w:tab/>
        <w:t>5. На кога ће и како ће утицати предложена решења</w:t>
      </w: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CS"/>
        </w:rPr>
      </w:pP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CS"/>
        </w:rPr>
        <w:tab/>
      </w: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Решења предложена у Закону утицаће на пацијенте, односно лица са менталним сметњама, али и на пружаоце здравствених услуга као и на месно и стварно надлежне судове.</w:t>
      </w:r>
    </w:p>
    <w:p w:rsidR="003D10D5" w:rsidRPr="00DD7692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CS"/>
        </w:rPr>
      </w:pP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ab/>
      </w:r>
    </w:p>
    <w:p w:rsidR="003D10D5" w:rsidRPr="003D10D5" w:rsidRDefault="003D10D5" w:rsidP="003D10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CS"/>
        </w:rPr>
      </w:pPr>
      <w:r w:rsidRPr="003D10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sr-Latn-CS"/>
        </w:rPr>
        <w:tab/>
      </w:r>
      <w:r w:rsidRPr="003D10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sr-Cyrl-CS" w:eastAsia="sr-Latn-CS"/>
        </w:rPr>
        <w:t>6. Трошкови које ће примена Закона изазвати код грађана и привреде, посебно малих и средњих предузећа</w:t>
      </w: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</w:pP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CS"/>
        </w:rPr>
        <w:tab/>
      </w: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Примена Закона неће изазвати додатне трошкове код грађана, привреде, малих и средњих предузећа, у односу на већ постојеће трошкове.</w:t>
      </w: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CS"/>
        </w:rPr>
      </w:pP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sr-Latn-RS" w:eastAsia="sr-Latn-CS"/>
        </w:rPr>
      </w:pPr>
      <w:r w:rsidRPr="003D10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sr-Cyrl-CS" w:eastAsia="sr-Latn-CS"/>
        </w:rPr>
        <w:tab/>
        <w:t>7. Да ли позитивни ефекти оправдавају трошкове</w:t>
      </w: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CS"/>
        </w:rPr>
      </w:pP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CS"/>
        </w:rPr>
      </w:pP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CS"/>
        </w:rPr>
        <w:tab/>
      </w: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eastAsia="sr-Latn-CS"/>
        </w:rPr>
        <w:t xml:space="preserve">    </w:t>
      </w: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sr-Latn-CS"/>
        </w:rPr>
        <w:t xml:space="preserve">На </w:t>
      </w: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 xml:space="preserve">предложени начин доћи ће до </w:t>
      </w: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sr-Latn-CS"/>
        </w:rPr>
        <w:t xml:space="preserve">унапређења </w:t>
      </w: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здравља грађана, као и подизањ</w:t>
      </w: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sr-Latn-CS"/>
        </w:rPr>
        <w:t>е</w:t>
      </w: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 xml:space="preserve"> стандарда здравствене заштите и унапређења здравственог система Републике Србије.</w:t>
      </w: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sr-Latn-CS"/>
        </w:rPr>
        <w:t xml:space="preserve"> Наиме, оствариће се поз</w:t>
      </w: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итивни ефекти, како за грађане,</w:t>
      </w: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CS"/>
        </w:rPr>
        <w:t xml:space="preserve"> </w:t>
      </w: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 xml:space="preserve">тако и за државу и систем здравствене заштите </w:t>
      </w: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sr-Latn-CS"/>
        </w:rPr>
        <w:t xml:space="preserve">и здравственог осигурања </w:t>
      </w: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 xml:space="preserve">у Републици Србији. </w:t>
      </w: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r-Latn-CS"/>
        </w:rPr>
      </w:pP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sr-Latn-RS" w:eastAsia="sr-Latn-CS"/>
        </w:rPr>
      </w:pPr>
      <w:r w:rsidRPr="003D10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sr-Latn-CS"/>
        </w:rPr>
        <w:t xml:space="preserve"> </w:t>
      </w:r>
      <w:r w:rsidRPr="003D10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sr-Cyrl-RS" w:eastAsia="sr-Latn-CS"/>
        </w:rPr>
        <w:tab/>
      </w:r>
      <w:r w:rsidRPr="003D10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sr-Cyrl-CS" w:eastAsia="sr-Latn-CS"/>
        </w:rPr>
        <w:t>8. Да ли акт стимулише појаву нових привредних субјеката на тржишту и тржишну конкуренцију</w:t>
      </w: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CS"/>
        </w:rPr>
      </w:pP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CS"/>
        </w:rPr>
      </w:pP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ab/>
        <w:t>Циљ овог закона није стимулисање појаве нових привредних субјеката и стварање тржишне конкуренције, већ законско, јединствено уређивање система здравствене заштите у циљу обезбеђивања високог нивоа и квалитета здравствене заштите.</w:t>
      </w: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CS"/>
        </w:rPr>
      </w:pP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sr-Latn-RS" w:eastAsia="sr-Latn-CS"/>
        </w:rPr>
      </w:pPr>
      <w:r w:rsidRPr="003D10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sr-Cyrl-CS" w:eastAsia="sr-Latn-CS"/>
        </w:rPr>
        <w:tab/>
        <w:t>9. Да ли су заинтересоване стране имале прилику да изнесу своје ставове</w:t>
      </w: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CS"/>
        </w:rPr>
      </w:pP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 xml:space="preserve"> </w:t>
      </w: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ab/>
        <w:t xml:space="preserve"> У периоду примене важећег Закона о заштити лица са менталним сметњама Министарству здравља су одређена удружења, здравствене установе, међународне организације,</w:t>
      </w:r>
      <w:r w:rsidR="00DD7692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 xml:space="preserve"> </w:t>
      </w: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 xml:space="preserve">као и регулаторна тела указивали на непрецизности и недоумице појединих решења, а тиме и на проблеме у примени тог закона. Такође, Министарству здравља су достављали и иницијативе које су се односиле  на другачија, као и нова могућа решења у области менталног здравља. Све примедбе, као и иницајативе биле су предмет разматрања у Министарству здравља приликом  припреме овог закона. Ценећи као и реалне могућности, како материјалне, тако и у погледу капацитета, предложена су решења у овом закону. </w:t>
      </w: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sr-Latn-RS" w:eastAsia="sr-Latn-CS"/>
        </w:rPr>
      </w:pP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sr-Latn-RS" w:eastAsia="sr-Latn-CS"/>
        </w:rPr>
      </w:pP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sr-Latn-RS" w:eastAsia="sr-Latn-CS"/>
        </w:rPr>
      </w:pPr>
      <w:r w:rsidRPr="003D10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sr-Cyrl-CS" w:eastAsia="sr-Latn-CS"/>
        </w:rPr>
        <w:tab/>
        <w:t>10. Које ће мере бити предузете да би се остварили разлози доношења закона</w:t>
      </w: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sr-Latn-RS" w:eastAsia="sr-Latn-CS"/>
        </w:rPr>
      </w:pP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CS"/>
        </w:rPr>
      </w:pP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ab/>
        <w:t>Регулаторне мере:</w:t>
      </w: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CS"/>
        </w:rPr>
      </w:pP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</w:pP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ab/>
        <w:t xml:space="preserve">Ради спровођења овог закона изменити и допунити законом утврђена  подзаконска акта. </w:t>
      </w: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</w:pP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ab/>
      </w: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 xml:space="preserve"> </w:t>
      </w: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CS"/>
        </w:rPr>
      </w:pP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ab/>
        <w:t>Институционално управљачке мере:</w:t>
      </w: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CS"/>
        </w:rPr>
      </w:pP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CS"/>
        </w:rPr>
        <w:t xml:space="preserve">  </w:t>
      </w: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</w:pP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ab/>
        <w:t>Надлежност за споровођење овог закона имају, пре свега, Министарство здравља и здравствене установе. С обзиром да је надлежност за спровођење прописа којима се уређује област менталног здравља и да, сходно томе, постоје одговарајући капацитети,  не очекују се потешкоће у примени новог закона.</w:t>
      </w: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CS"/>
        </w:rPr>
      </w:pP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ab/>
      </w: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>С обзиром да су и они и до сада учествовали у спровођењу важећих прописа у овој области и остварили сарадњу у вези с тим, не очекују се потешкоће у примени новог закона.</w:t>
      </w: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CS"/>
        </w:rPr>
      </w:pP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</w:pP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sr-Latn-CS"/>
        </w:rPr>
        <w:tab/>
        <w:t xml:space="preserve"> </w:t>
      </w: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sr-Latn-CS"/>
        </w:rPr>
        <w:tab/>
        <w:t>Финансијске мере:</w:t>
      </w: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</w:pP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CS"/>
        </w:rPr>
      </w:pP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sr-Latn-CS"/>
        </w:rPr>
        <w:tab/>
        <w:t xml:space="preserve">За спровођење овог закона </w:t>
      </w: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 xml:space="preserve">обезбеђују се средства у Финасијском плану Републичког фонда за здравствено осигурање за сваку калндарску годину, за обезбеђивање  права у складу са овим законом, у складу са лимитима које определи министарство финансија. </w:t>
      </w: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CS"/>
        </w:rPr>
      </w:pP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ab/>
        <w:t>Такође и у буџету, на разделу Министарства здравља, у складу са лимитима које определи министарство финансија обезбеђују се средства за сваку календарску годину за обезбеђивање права појединих категорија осигураних лица утврђених овима законом.</w:t>
      </w: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r-Latn-CS"/>
        </w:rPr>
      </w:pP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sr-Latn-CS"/>
        </w:rPr>
        <w:tab/>
      </w: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CS"/>
        </w:rPr>
      </w:pPr>
      <w:r w:rsidRPr="003D10D5"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CS"/>
        </w:rPr>
        <w:tab/>
      </w: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CS"/>
        </w:rPr>
      </w:pPr>
    </w:p>
    <w:p w:rsidR="003D10D5" w:rsidRPr="003D10D5" w:rsidRDefault="003D10D5" w:rsidP="003D10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RS" w:eastAsia="sr-Latn-CS"/>
        </w:rPr>
      </w:pPr>
    </w:p>
    <w:p w:rsidR="003D10D5" w:rsidRPr="003D10D5" w:rsidRDefault="003D10D5" w:rsidP="003D10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" w:eastAsia="sr-Latn-RS"/>
        </w:rPr>
      </w:pPr>
    </w:p>
    <w:p w:rsidR="00831EB6" w:rsidRDefault="00831EB6"/>
    <w:sectPr w:rsidR="00831EB6" w:rsidSect="003D10D5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10D5" w:rsidRDefault="003D10D5" w:rsidP="003D10D5">
      <w:pPr>
        <w:spacing w:after="0" w:line="240" w:lineRule="auto"/>
      </w:pPr>
      <w:r>
        <w:separator/>
      </w:r>
    </w:p>
  </w:endnote>
  <w:endnote w:type="continuationSeparator" w:id="0">
    <w:p w:rsidR="003D10D5" w:rsidRDefault="003D10D5" w:rsidP="003D1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10D5" w:rsidRDefault="003D10D5" w:rsidP="003D10D5">
      <w:pPr>
        <w:spacing w:after="0" w:line="240" w:lineRule="auto"/>
      </w:pPr>
      <w:r>
        <w:separator/>
      </w:r>
    </w:p>
  </w:footnote>
  <w:footnote w:type="continuationSeparator" w:id="0">
    <w:p w:rsidR="003D10D5" w:rsidRDefault="003D10D5" w:rsidP="003D10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6429260"/>
      <w:docPartObj>
        <w:docPartGallery w:val="Page Numbers (Top of Page)"/>
        <w:docPartUnique/>
      </w:docPartObj>
    </w:sdtPr>
    <w:sdtEndPr>
      <w:rPr>
        <w:noProof/>
      </w:rPr>
    </w:sdtEndPr>
    <w:sdtContent>
      <w:p w:rsidR="003D10D5" w:rsidRDefault="003D10D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277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D10D5" w:rsidRDefault="003D10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072AF8"/>
    <w:multiLevelType w:val="hybridMultilevel"/>
    <w:tmpl w:val="C3CCE6EE"/>
    <w:lvl w:ilvl="0" w:tplc="81AAC08E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965" w:hanging="360"/>
      </w:pPr>
    </w:lvl>
    <w:lvl w:ilvl="2" w:tplc="241A001B" w:tentative="1">
      <w:start w:val="1"/>
      <w:numFmt w:val="lowerRoman"/>
      <w:lvlText w:val="%3."/>
      <w:lvlJc w:val="right"/>
      <w:pPr>
        <w:ind w:left="2685" w:hanging="180"/>
      </w:pPr>
    </w:lvl>
    <w:lvl w:ilvl="3" w:tplc="241A000F" w:tentative="1">
      <w:start w:val="1"/>
      <w:numFmt w:val="decimal"/>
      <w:lvlText w:val="%4."/>
      <w:lvlJc w:val="left"/>
      <w:pPr>
        <w:ind w:left="3405" w:hanging="360"/>
      </w:pPr>
    </w:lvl>
    <w:lvl w:ilvl="4" w:tplc="241A0019" w:tentative="1">
      <w:start w:val="1"/>
      <w:numFmt w:val="lowerLetter"/>
      <w:lvlText w:val="%5."/>
      <w:lvlJc w:val="left"/>
      <w:pPr>
        <w:ind w:left="4125" w:hanging="360"/>
      </w:pPr>
    </w:lvl>
    <w:lvl w:ilvl="5" w:tplc="241A001B" w:tentative="1">
      <w:start w:val="1"/>
      <w:numFmt w:val="lowerRoman"/>
      <w:lvlText w:val="%6."/>
      <w:lvlJc w:val="right"/>
      <w:pPr>
        <w:ind w:left="4845" w:hanging="180"/>
      </w:pPr>
    </w:lvl>
    <w:lvl w:ilvl="6" w:tplc="241A000F" w:tentative="1">
      <w:start w:val="1"/>
      <w:numFmt w:val="decimal"/>
      <w:lvlText w:val="%7."/>
      <w:lvlJc w:val="left"/>
      <w:pPr>
        <w:ind w:left="5565" w:hanging="360"/>
      </w:pPr>
    </w:lvl>
    <w:lvl w:ilvl="7" w:tplc="241A0019" w:tentative="1">
      <w:start w:val="1"/>
      <w:numFmt w:val="lowerLetter"/>
      <w:lvlText w:val="%8."/>
      <w:lvlJc w:val="left"/>
      <w:pPr>
        <w:ind w:left="6285" w:hanging="360"/>
      </w:pPr>
    </w:lvl>
    <w:lvl w:ilvl="8" w:tplc="241A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" w15:restartNumberingAfterBreak="0">
    <w:nsid w:val="2B730F3B"/>
    <w:multiLevelType w:val="hybridMultilevel"/>
    <w:tmpl w:val="DF66FED2"/>
    <w:lvl w:ilvl="0" w:tplc="F04C201A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38A"/>
    <w:rsid w:val="00332777"/>
    <w:rsid w:val="003D10D5"/>
    <w:rsid w:val="00831EB6"/>
    <w:rsid w:val="00A451B6"/>
    <w:rsid w:val="00C6638A"/>
    <w:rsid w:val="00CB529B"/>
    <w:rsid w:val="00DD7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43CEC8"/>
  <w15:chartTrackingRefBased/>
  <w15:docId w15:val="{216CCA5A-045D-4ADA-9394-F606D0220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10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10D5"/>
  </w:style>
  <w:style w:type="paragraph" w:styleId="Footer">
    <w:name w:val="footer"/>
    <w:basedOn w:val="Normal"/>
    <w:link w:val="FooterChar"/>
    <w:uiPriority w:val="99"/>
    <w:unhideWhenUsed/>
    <w:rsid w:val="003D10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10D5"/>
  </w:style>
  <w:style w:type="paragraph" w:styleId="BalloonText">
    <w:name w:val="Balloon Text"/>
    <w:basedOn w:val="Normal"/>
    <w:link w:val="BalloonTextChar"/>
    <w:uiPriority w:val="99"/>
    <w:semiHidden/>
    <w:unhideWhenUsed/>
    <w:rsid w:val="00A451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1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905</Words>
  <Characters>5165</Characters>
  <Application>Microsoft Office Word</Application>
  <DocSecurity>0</DocSecurity>
  <Lines>43</Lines>
  <Paragraphs>12</Paragraphs>
  <ScaleCrop>false</ScaleCrop>
  <Company/>
  <LinksUpToDate>false</LinksUpToDate>
  <CharactersWithSpaces>6058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Danica Polic</dc:creator>
  <cp:keywords/>
  <dc:description/>
  <cp:lastModifiedBy>Daktilobiro02</cp:lastModifiedBy>
  <cp:revision>7</cp:revision>
  <cp:lastPrinted>2026-07-08T11:27:00Z</cp:lastPrinted>
  <dcterms:created xsi:type="dcterms:W3CDTF">2026-07-06T11:55:00Z</dcterms:created>
  <dcterms:modified xsi:type="dcterms:W3CDTF">2026-07-08T11:27:00Z</dcterms:modified>
</cp:coreProperties>
</file>